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D" w:rsidRDefault="0083247D" w:rsidP="0083247D">
      <w:pPr>
        <w:tabs>
          <w:tab w:val="center" w:pos="14142"/>
          <w:tab w:val="right" w:pos="15007"/>
        </w:tabs>
        <w:spacing w:after="0" w:line="240" w:lineRule="auto"/>
        <w:ind w:right="-17"/>
      </w:pPr>
      <w:r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                             </w:t>
      </w:r>
    </w:p>
    <w:p w:rsidR="0083247D" w:rsidRDefault="0083247D" w:rsidP="0083247D">
      <w:pPr>
        <w:tabs>
          <w:tab w:val="center" w:pos="14142"/>
          <w:tab w:val="right" w:pos="15007"/>
        </w:tabs>
        <w:spacing w:after="0" w:line="240" w:lineRule="auto"/>
        <w:ind w:right="-17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 xml:space="preserve">Załącznik nr3 </w:t>
      </w:r>
      <w:r>
        <w:t xml:space="preserve">do Uchwały Nr VII.62.2015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</w:p>
    <w:p w:rsidR="0083247D" w:rsidRDefault="0083247D" w:rsidP="0083247D">
      <w:pPr>
        <w:tabs>
          <w:tab w:val="center" w:pos="14142"/>
          <w:tab w:val="right" w:pos="15007"/>
        </w:tabs>
        <w:spacing w:after="0" w:line="240" w:lineRule="auto"/>
        <w:ind w:right="-17"/>
      </w:pPr>
      <w:r>
        <w:t xml:space="preserve">                                                                                                             </w:t>
      </w:r>
      <w:r>
        <w:t>Rady Miasta Wojkowice z dnia 4 maja 2015</w:t>
      </w:r>
      <w:proofErr w:type="gramStart"/>
      <w:r>
        <w:t xml:space="preserve">r.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    </w:t>
      </w:r>
    </w:p>
    <w:p w:rsidR="00971CD4" w:rsidRDefault="00971CD4" w:rsidP="00971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247D" w:rsidRDefault="0083247D" w:rsidP="00971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247D" w:rsidRPr="00971CD4" w:rsidRDefault="0083247D" w:rsidP="00971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>OBJAŚNIENIA DO ZMIAN</w:t>
      </w: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>Wieloletniej Prognozy Finansowej Miasta Wojkowice na lata 2015-2018,</w:t>
      </w: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wprowadzonych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mocą uchwały Rady Miasta Wojkowice</w:t>
      </w: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nr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VII.62.2015 </w:t>
      </w:r>
      <w:proofErr w:type="gramStart"/>
      <w:r w:rsidRPr="00971CD4">
        <w:rPr>
          <w:rFonts w:ascii="Arial" w:hAnsi="Arial" w:cs="Arial"/>
          <w:sz w:val="24"/>
          <w:szCs w:val="24"/>
        </w:rPr>
        <w:t>z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dnia 4 maja 2015 r.</w:t>
      </w: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CD4" w:rsidRPr="00971CD4" w:rsidRDefault="00971CD4" w:rsidP="00971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Zmiany Wieloletniej Prognozy Finansowej Miasta Wojkowice na lata 2015 -2018, wprowadzone mocą uchwały Rady Miasta Wojkowice nr VII.62.2015 </w:t>
      </w:r>
      <w:proofErr w:type="gramStart"/>
      <w:r w:rsidRPr="00971CD4">
        <w:rPr>
          <w:rFonts w:ascii="Arial" w:hAnsi="Arial" w:cs="Arial"/>
          <w:sz w:val="24"/>
          <w:szCs w:val="24"/>
        </w:rPr>
        <w:t>z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dnia 4 maja 2015 r. w zakresie załącznika – wieloletnia prognoza finansowa polegają na:</w:t>
      </w:r>
    </w:p>
    <w:p w:rsidR="00971CD4" w:rsidRPr="00971CD4" w:rsidRDefault="00971CD4" w:rsidP="00971CD4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w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zakresie roku 2015 – wprowadzono wartości uwzględniające stan budżetu na rok 2015, wg stanu na dzień 4 maja 2015 r. z uwzględnieniem zmian wynikających z załącznika – wykaz przedsięwzięć do WPF; zmiany te obejmują:</w:t>
      </w:r>
    </w:p>
    <w:p w:rsidR="00971CD4" w:rsidRPr="00971CD4" w:rsidRDefault="00971CD4" w:rsidP="00971C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dochody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ogółem, w tym dochody bieżące – zwiększenie o kwotę – 243 646,00 zł,</w:t>
      </w:r>
    </w:p>
    <w:p w:rsidR="00971CD4" w:rsidRPr="00971CD4" w:rsidRDefault="00971CD4" w:rsidP="00971C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wydatki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ogółem – zwiększenie o kwotę – 1 743 646,00 zł, w tym:</w:t>
      </w:r>
    </w:p>
    <w:p w:rsidR="00971CD4" w:rsidRPr="00971CD4" w:rsidRDefault="00971CD4" w:rsidP="00971C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>wydatki</w:t>
      </w:r>
      <w:r>
        <w:rPr>
          <w:rFonts w:ascii="Arial" w:hAnsi="Arial" w:cs="Arial"/>
          <w:sz w:val="24"/>
          <w:szCs w:val="24"/>
        </w:rPr>
        <w:t xml:space="preserve"> </w:t>
      </w:r>
      <w:r w:rsidRPr="00971CD4">
        <w:rPr>
          <w:rFonts w:ascii="Arial" w:hAnsi="Arial" w:cs="Arial"/>
          <w:sz w:val="24"/>
          <w:szCs w:val="24"/>
        </w:rPr>
        <w:t>bieżące – zwiększenie o kwotę – 243 646,00 zł,</w:t>
      </w:r>
    </w:p>
    <w:p w:rsidR="00971CD4" w:rsidRPr="00971CD4" w:rsidRDefault="00971CD4" w:rsidP="00971CD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wydatki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majątkowe – zwiększenie o kwotę – 1 500 000,00 zł,</w:t>
      </w:r>
    </w:p>
    <w:p w:rsidR="00971CD4" w:rsidRPr="00971CD4" w:rsidRDefault="00971CD4" w:rsidP="00971C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przychody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budżetu – zwiększenie o kwotę – 1 500 000,00 zł,</w:t>
      </w:r>
    </w:p>
    <w:p w:rsidR="00971CD4" w:rsidRPr="00971CD4" w:rsidRDefault="00971CD4" w:rsidP="00971C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kredyty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i pożyczki - zwiększenie – 1 500 000,00 zł,</w:t>
      </w:r>
    </w:p>
    <w:p w:rsidR="00971CD4" w:rsidRPr="00971CD4" w:rsidRDefault="00971CD4" w:rsidP="00971C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kwota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długu – zwiększenie o kwotę – 1 500 000,00 zł,</w:t>
      </w:r>
    </w:p>
    <w:p w:rsidR="00971CD4" w:rsidRPr="00971CD4" w:rsidRDefault="00971CD4" w:rsidP="00971CD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wydatki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objęte limitem, o którym mowa w art. 226 ust. 3 pkt 4 ustawy, w tym wydatki majątkowe – zwiększenie o kwotę – 1 563 000,00 zł;</w:t>
      </w:r>
    </w:p>
    <w:p w:rsidR="00971CD4" w:rsidRPr="00971CD4" w:rsidRDefault="00971CD4" w:rsidP="00971CD4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1CD4">
        <w:rPr>
          <w:rFonts w:ascii="Arial" w:hAnsi="Arial" w:cs="Arial"/>
          <w:sz w:val="24"/>
          <w:szCs w:val="24"/>
        </w:rPr>
        <w:t>w</w:t>
      </w:r>
      <w:proofErr w:type="gramEnd"/>
      <w:r w:rsidRPr="00971CD4">
        <w:rPr>
          <w:rFonts w:ascii="Arial" w:hAnsi="Arial" w:cs="Arial"/>
          <w:sz w:val="24"/>
          <w:szCs w:val="24"/>
        </w:rPr>
        <w:t xml:space="preserve"> zakresie lat 2016 – 2021 - wprowadzono wartości uwzględniające zmianę kwoty długu wynikającą z planowanego zaciągnięcia w 2015 r. kredytu długoterminowego w wysokości – 1,5 miliona zł przeznaczonego na sfinansowanie wydatków inwestycyjnych; planowana spłata tego zobowiązania obejmuje lata 2016-2021 w następujących wartościach (nastąpiła zmiana wartości rozchodów w ww. okresie poprzez ich zwiększenie):</w:t>
      </w:r>
    </w:p>
    <w:p w:rsidR="00971CD4" w:rsidRPr="00971CD4" w:rsidRDefault="00971CD4" w:rsidP="00971CD4">
      <w:pPr>
        <w:numPr>
          <w:ilvl w:val="0"/>
          <w:numId w:val="3"/>
        </w:numPr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 - 100 000,00 zł,</w:t>
      </w:r>
    </w:p>
    <w:p w:rsidR="00971CD4" w:rsidRPr="00971CD4" w:rsidRDefault="00971CD4" w:rsidP="00971CD4">
      <w:pPr>
        <w:numPr>
          <w:ilvl w:val="0"/>
          <w:numId w:val="3"/>
        </w:numPr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 - 200 000,00 zł,</w:t>
      </w:r>
    </w:p>
    <w:p w:rsidR="00971CD4" w:rsidRPr="00971CD4" w:rsidRDefault="00971CD4" w:rsidP="00971CD4">
      <w:pPr>
        <w:numPr>
          <w:ilvl w:val="0"/>
          <w:numId w:val="3"/>
        </w:numPr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 - 200 000,00 zł,</w:t>
      </w:r>
    </w:p>
    <w:p w:rsidR="00971CD4" w:rsidRPr="00971CD4" w:rsidRDefault="00971CD4" w:rsidP="00971CD4">
      <w:pPr>
        <w:numPr>
          <w:ilvl w:val="0"/>
          <w:numId w:val="3"/>
        </w:numPr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 - 200 000,00 zł,</w:t>
      </w:r>
    </w:p>
    <w:p w:rsidR="00971CD4" w:rsidRPr="00971CD4" w:rsidRDefault="00971CD4" w:rsidP="00971CD4">
      <w:pPr>
        <w:numPr>
          <w:ilvl w:val="0"/>
          <w:numId w:val="3"/>
        </w:numPr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 - 400 000,00 zł,</w:t>
      </w:r>
    </w:p>
    <w:p w:rsidR="00971CD4" w:rsidRPr="00971CD4" w:rsidRDefault="00971CD4" w:rsidP="00971CD4">
      <w:pPr>
        <w:numPr>
          <w:ilvl w:val="0"/>
          <w:numId w:val="3"/>
        </w:numPr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 xml:space="preserve"> - 400 000,00 zł.</w:t>
      </w:r>
    </w:p>
    <w:p w:rsidR="00971CD4" w:rsidRPr="00971CD4" w:rsidRDefault="00971CD4" w:rsidP="00971C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71CD4">
        <w:rPr>
          <w:rFonts w:ascii="Arial" w:hAnsi="Arial" w:cs="Arial"/>
          <w:sz w:val="24"/>
          <w:szCs w:val="24"/>
        </w:rPr>
        <w:t>Ponadto, zmiana w latach 2016-2021 obejmują następujące kategorie: dochody ogółem, w tym dochody bieżące oraz dochody majątkowe, w tym: z tytułu dotacji oraz środków przeznaczonych na inwestycje, wydatki ogółem, w tym wydatki bieżące i wydatki majątkowe, wynik budżetu.</w:t>
      </w:r>
    </w:p>
    <w:p w:rsidR="00971CD4" w:rsidRPr="00971CD4" w:rsidRDefault="00971CD4" w:rsidP="00971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67A" w:rsidRDefault="0090167A"/>
    <w:sectPr w:rsidR="0090167A" w:rsidSect="0083247D">
      <w:pgSz w:w="12240" w:h="15840"/>
      <w:pgMar w:top="709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6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016"/>
      <w:numFmt w:val="decimal"/>
      <w:lvlText w:val="%1"/>
      <w:lvlJc w:val="left"/>
      <w:pPr>
        <w:ind w:left="160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016"/>
      <w:numFmt w:val="decimal"/>
      <w:lvlText w:val="%2"/>
      <w:lvlJc w:val="left"/>
      <w:pPr>
        <w:ind w:left="196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016"/>
      <w:numFmt w:val="decimal"/>
      <w:lvlText w:val="%3"/>
      <w:lvlJc w:val="left"/>
      <w:pPr>
        <w:ind w:left="232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016"/>
      <w:numFmt w:val="decimal"/>
      <w:lvlText w:val="%4"/>
      <w:lvlJc w:val="left"/>
      <w:pPr>
        <w:ind w:left="268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016"/>
      <w:numFmt w:val="decimal"/>
      <w:lvlText w:val="%5"/>
      <w:lvlJc w:val="left"/>
      <w:pPr>
        <w:ind w:left="304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016"/>
      <w:numFmt w:val="decimal"/>
      <w:lvlText w:val="%6"/>
      <w:lvlJc w:val="left"/>
      <w:pPr>
        <w:ind w:left="340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016"/>
      <w:numFmt w:val="decimal"/>
      <w:lvlText w:val="%7"/>
      <w:lvlJc w:val="left"/>
      <w:pPr>
        <w:ind w:left="376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016"/>
      <w:numFmt w:val="decimal"/>
      <w:lvlText w:val="%8"/>
      <w:lvlJc w:val="left"/>
      <w:pPr>
        <w:ind w:left="412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016"/>
      <w:numFmt w:val="decimal"/>
      <w:lvlText w:val="%9"/>
      <w:lvlJc w:val="left"/>
      <w:pPr>
        <w:ind w:left="4488" w:hanging="5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D4"/>
    <w:rsid w:val="00171EE9"/>
    <w:rsid w:val="002841AD"/>
    <w:rsid w:val="0083247D"/>
    <w:rsid w:val="0090167A"/>
    <w:rsid w:val="00927220"/>
    <w:rsid w:val="009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83AB-3456-4F77-BCEF-FD20C4B0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Skrobek</dc:creator>
  <cp:keywords/>
  <dc:description/>
  <cp:lastModifiedBy>Ilona</cp:lastModifiedBy>
  <cp:revision>2</cp:revision>
  <dcterms:created xsi:type="dcterms:W3CDTF">2015-05-06T05:23:00Z</dcterms:created>
  <dcterms:modified xsi:type="dcterms:W3CDTF">2015-05-06T05:23:00Z</dcterms:modified>
</cp:coreProperties>
</file>